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6694723A" w:rsidR="001166B5" w:rsidRDefault="00D40C92" w:rsidP="00EF257B">
      <w:pPr>
        <w:spacing w:after="120"/>
        <w:ind w:right="28"/>
        <w:jc w:val="center"/>
        <w:rPr>
          <w:rFonts w:ascii="Verdana" w:hAnsi="Verdana" w:cs="Arial"/>
          <w:b/>
          <w:color w:val="002060"/>
          <w:sz w:val="36"/>
          <w:szCs w:val="36"/>
          <w:lang w:val="en-GB"/>
        </w:rPr>
      </w:pPr>
      <w:r w:rsidRPr="007851EE">
        <w:rPr>
          <w:rFonts w:ascii="Verdana" w:hAnsi="Verdana" w:cs="Arial"/>
          <w:b/>
          <w:color w:val="002060"/>
          <w:sz w:val="28"/>
          <w:szCs w:val="28"/>
          <w:lang w:val="en-GB"/>
        </w:rPr>
        <w:t>Staff Mobility For Teaching and Training (STA + STT)</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54198F34"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44147B">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6"/>
        <w:gridCol w:w="1965"/>
        <w:gridCol w:w="2227"/>
        <w:gridCol w:w="2604"/>
      </w:tblGrid>
      <w:tr w:rsidR="004B3596" w:rsidRPr="009F5B61" w14:paraId="56E939EA" w14:textId="77777777" w:rsidTr="00B06E9B">
        <w:trPr>
          <w:trHeight w:val="314"/>
        </w:trPr>
        <w:tc>
          <w:tcPr>
            <w:tcW w:w="2119"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62" w:type="dxa"/>
            <w:gridSpan w:val="3"/>
            <w:shd w:val="clear" w:color="auto" w:fill="FFFFFF"/>
          </w:tcPr>
          <w:p w14:paraId="56E939E9" w14:textId="5677742C"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Cardinal Stefan Wyszy</w:t>
            </w:r>
            <w:r w:rsidR="00E86BA1">
              <w:rPr>
                <w:rFonts w:ascii="Verdana" w:hAnsi="Verdana" w:cs="Arial"/>
                <w:b/>
                <w:color w:val="002060"/>
                <w:sz w:val="20"/>
                <w:lang w:val="en-GB"/>
              </w:rPr>
              <w:t>n</w:t>
            </w:r>
            <w:r w:rsidRPr="00D047E7">
              <w:rPr>
                <w:rFonts w:ascii="Verdana" w:hAnsi="Verdana" w:cs="Arial"/>
                <w:b/>
                <w:color w:val="002060"/>
                <w:sz w:val="20"/>
                <w:lang w:val="en-GB"/>
              </w:rPr>
              <w:t>ski University in Warsaw</w:t>
            </w:r>
          </w:p>
        </w:tc>
      </w:tr>
      <w:tr w:rsidR="004B3596" w:rsidRPr="005E466D" w14:paraId="56E939F1" w14:textId="77777777" w:rsidTr="00B06E9B">
        <w:trPr>
          <w:trHeight w:val="314"/>
        </w:trPr>
        <w:tc>
          <w:tcPr>
            <w:tcW w:w="2119"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330"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B06E9B">
        <w:trPr>
          <w:trHeight w:val="472"/>
        </w:trPr>
        <w:tc>
          <w:tcPr>
            <w:tcW w:w="2119"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04" w:type="dxa"/>
            <w:shd w:val="clear" w:color="auto" w:fill="FFFFFF"/>
          </w:tcPr>
          <w:p w14:paraId="56E939F3" w14:textId="076A50C4" w:rsidR="004B3596" w:rsidRPr="005E466D" w:rsidRDefault="004B3596" w:rsidP="00030774">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Dewajtis</w:t>
            </w:r>
            <w:proofErr w:type="spellEnd"/>
            <w:r>
              <w:rPr>
                <w:rFonts w:ascii="Verdana" w:hAnsi="Verdana" w:cs="Arial"/>
                <w:color w:val="002060"/>
                <w:sz w:val="20"/>
                <w:lang w:val="en-GB"/>
              </w:rPr>
              <w:t xml:space="preserve"> 5 Street, </w:t>
            </w:r>
            <w:r>
              <w:rPr>
                <w:rFonts w:ascii="Verdana" w:hAnsi="Verdana" w:cs="Arial"/>
                <w:color w:val="002060"/>
                <w:sz w:val="20"/>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330"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B06E9B">
        <w:trPr>
          <w:trHeight w:val="811"/>
        </w:trPr>
        <w:tc>
          <w:tcPr>
            <w:tcW w:w="2119"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04" w:type="dxa"/>
            <w:shd w:val="clear" w:color="auto" w:fill="FFFFFF"/>
            <w:vAlign w:val="center"/>
          </w:tcPr>
          <w:p w14:paraId="631F8BA2" w14:textId="77777777" w:rsidR="00E86BA1" w:rsidRDefault="00E86BA1" w:rsidP="00E86BA1">
            <w:pPr>
              <w:shd w:val="clear" w:color="auto" w:fill="FFFFFF"/>
              <w:spacing w:before="80" w:after="120"/>
              <w:ind w:right="-992"/>
              <w:jc w:val="left"/>
              <w:rPr>
                <w:rFonts w:ascii="Verdana" w:hAnsi="Verdana" w:cs="Arial"/>
                <w:color w:val="002060"/>
                <w:sz w:val="16"/>
                <w:szCs w:val="16"/>
                <w:lang w:val="en-GB"/>
              </w:rPr>
            </w:pPr>
            <w:r>
              <w:rPr>
                <w:rFonts w:ascii="Verdana" w:hAnsi="Verdana" w:cs="Arial"/>
                <w:color w:val="002060"/>
                <w:sz w:val="16"/>
                <w:szCs w:val="16"/>
                <w:lang w:val="en-GB"/>
              </w:rPr>
              <w:t>Małgorzata Danowska</w:t>
            </w:r>
          </w:p>
          <w:p w14:paraId="56E939F8" w14:textId="4D6813BB" w:rsidR="004B3596" w:rsidRPr="005E466D" w:rsidRDefault="00E86BA1" w:rsidP="00E86BA1">
            <w:pPr>
              <w:shd w:val="clear" w:color="auto" w:fill="FFFFFF"/>
              <w:ind w:right="-993"/>
              <w:jc w:val="left"/>
              <w:rPr>
                <w:rFonts w:ascii="Verdana" w:hAnsi="Verdana" w:cs="Arial"/>
                <w:color w:val="002060"/>
                <w:sz w:val="20"/>
                <w:lang w:val="en-GB"/>
              </w:rPr>
            </w:pPr>
            <w:r>
              <w:rPr>
                <w:rFonts w:ascii="Verdana" w:hAnsi="Verdana" w:cs="Arial"/>
                <w:color w:val="002060"/>
                <w:sz w:val="16"/>
                <w:szCs w:val="16"/>
                <w:lang w:val="en-GB"/>
              </w:rPr>
              <w:t xml:space="preserve">Outgoing Staff Specialist </w:t>
            </w: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30"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B06E9B">
        <w:trPr>
          <w:trHeight w:val="811"/>
        </w:trPr>
        <w:tc>
          <w:tcPr>
            <w:tcW w:w="2119" w:type="dxa"/>
            <w:shd w:val="clear" w:color="auto" w:fill="FFFFFF"/>
          </w:tcPr>
          <w:p w14:paraId="56E939FD" w14:textId="454650F9"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sidR="00E05623">
              <w:rPr>
                <w:rFonts w:ascii="Verdana" w:hAnsi="Verdana" w:cs="Arial"/>
                <w:sz w:val="20"/>
                <w:lang w:val="en-GB"/>
              </w:rPr>
              <w:t>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30"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40C92" w:rsidRPr="00490F95" w14:paraId="22378A69" w14:textId="77777777" w:rsidTr="00F93D61">
        <w:trPr>
          <w:trHeight w:val="2040"/>
          <w:jc w:val="center"/>
        </w:trPr>
        <w:tc>
          <w:tcPr>
            <w:tcW w:w="8763" w:type="dxa"/>
            <w:shd w:val="clear" w:color="auto" w:fill="FFFFFF"/>
            <w:hideMark/>
          </w:tcPr>
          <w:p w14:paraId="4B60372E" w14:textId="77777777" w:rsidR="00D40C92" w:rsidRDefault="00D40C92" w:rsidP="00F93D61">
            <w:pPr>
              <w:spacing w:before="40" w:after="120"/>
              <w:ind w:left="-6" w:firstLine="6"/>
              <w:rPr>
                <w:rFonts w:ascii="Verdana" w:hAnsi="Verdana" w:cs="Calibri"/>
                <w:b/>
                <w:sz w:val="20"/>
                <w:lang w:val="en-GB"/>
              </w:rPr>
            </w:pPr>
            <w:r w:rsidRPr="00490F95">
              <w:rPr>
                <w:rFonts w:ascii="Verdana" w:hAnsi="Verdana" w:cs="Calibri"/>
                <w:b/>
                <w:sz w:val="20"/>
                <w:lang w:val="en-GB"/>
              </w:rPr>
              <w:t>Content of the t</w:t>
            </w:r>
            <w:r>
              <w:rPr>
                <w:rFonts w:ascii="Verdana" w:hAnsi="Verdana" w:cs="Calibri"/>
                <w:b/>
                <w:sz w:val="20"/>
                <w:lang w:val="en-GB"/>
              </w:rPr>
              <w:t>raining</w:t>
            </w:r>
            <w:r w:rsidRPr="00490F95">
              <w:rPr>
                <w:rFonts w:ascii="Verdana" w:hAnsi="Verdana" w:cs="Calibri"/>
                <w:b/>
                <w:sz w:val="20"/>
                <w:lang w:val="en-GB"/>
              </w:rPr>
              <w:t xml:space="preserve">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 xml:space="preserve">rtual component, </w:t>
            </w:r>
            <w:r>
              <w:rPr>
                <w:rFonts w:ascii="Verdana" w:hAnsi="Verdana" w:cs="Calibri"/>
                <w:b/>
                <w:sz w:val="20"/>
                <w:lang w:val="en-GB"/>
              </w:rPr>
              <w:br/>
              <w:t>if applicable)</w:t>
            </w:r>
            <w:r w:rsidRPr="00490F95">
              <w:rPr>
                <w:rFonts w:ascii="Verdana" w:hAnsi="Verdana" w:cs="Calibri"/>
                <w:b/>
                <w:sz w:val="20"/>
                <w:lang w:val="en-GB"/>
              </w:rPr>
              <w:t>:</w:t>
            </w:r>
          </w:p>
          <w:p w14:paraId="4531CAA2" w14:textId="434A3A76" w:rsidR="00D40C92" w:rsidRPr="00FC2D61" w:rsidRDefault="00D40C92" w:rsidP="00F93D61">
            <w:pPr>
              <w:spacing w:after="120"/>
              <w:rPr>
                <w:rFonts w:ascii="Verdana" w:hAnsi="Verdana" w:cs="Calibri"/>
                <w:sz w:val="20"/>
                <w:lang w:val="en-GB"/>
              </w:rPr>
            </w:pPr>
          </w:p>
        </w:tc>
      </w:tr>
    </w:tbl>
    <w:p w14:paraId="5934BE12" w14:textId="77777777" w:rsidR="00D40C92" w:rsidRPr="00FC2D61" w:rsidRDefault="00D40C92"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D40C92"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7438F82" w14:textId="77777777" w:rsidR="00D40C92" w:rsidRDefault="00D40C92" w:rsidP="00B223B0">
      <w:pPr>
        <w:keepNext/>
        <w:keepLines/>
        <w:tabs>
          <w:tab w:val="left" w:pos="426"/>
        </w:tabs>
        <w:rPr>
          <w:rFonts w:ascii="Verdana" w:hAnsi="Verdana" w:cs="Calibri"/>
          <w:b/>
          <w:color w:val="002060"/>
          <w:sz w:val="20"/>
          <w:lang w:val="en-GB"/>
        </w:rPr>
      </w:pPr>
    </w:p>
    <w:p w14:paraId="62706A6B" w14:textId="11B1A64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EFB5" w14:textId="77777777" w:rsidR="004E56AD" w:rsidRDefault="004E56AD">
      <w:r>
        <w:separator/>
      </w:r>
    </w:p>
  </w:endnote>
  <w:endnote w:type="continuationSeparator" w:id="0">
    <w:p w14:paraId="5E38DC60" w14:textId="77777777" w:rsidR="004E56AD" w:rsidRDefault="004E56AD">
      <w:r>
        <w:continuationSeparator/>
      </w:r>
    </w:p>
  </w:endnote>
  <w:endnote w:id="1">
    <w:p w14:paraId="3C941FDC" w14:textId="72C84B95"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799062E"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05623">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7B04" w14:textId="77777777" w:rsidR="004E56AD" w:rsidRDefault="004E56AD">
      <w:r>
        <w:separator/>
      </w:r>
    </w:p>
  </w:footnote>
  <w:footnote w:type="continuationSeparator" w:id="0">
    <w:p w14:paraId="28033419" w14:textId="77777777" w:rsidR="004E56AD" w:rsidRDefault="004E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2FAF"/>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483"/>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47C"/>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2B5E"/>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47B"/>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6AD"/>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5E57"/>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68A"/>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83B6D"/>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AF9"/>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0C92"/>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623"/>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2FFC"/>
    <w:rsid w:val="00E73170"/>
    <w:rsid w:val="00E76475"/>
    <w:rsid w:val="00E7694C"/>
    <w:rsid w:val="00E77545"/>
    <w:rsid w:val="00E801EE"/>
    <w:rsid w:val="00E81094"/>
    <w:rsid w:val="00E8595A"/>
    <w:rsid w:val="00E86BA1"/>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1CE"/>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18605339">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490</Words>
  <Characters>2940</Characters>
  <Application>Microsoft Office Word</Application>
  <DocSecurity>0</DocSecurity>
  <PresentationFormat>Microsoft Word 11.0</PresentationFormat>
  <Lines>24</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3424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3</cp:revision>
  <cp:lastPrinted>2013-11-06T08:46:00Z</cp:lastPrinted>
  <dcterms:created xsi:type="dcterms:W3CDTF">2026-02-26T11:44:00Z</dcterms:created>
  <dcterms:modified xsi:type="dcterms:W3CDTF">2026-07-06T08:52:00Z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